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44" w:name="pe-and-sport-premium-report-2025-to-2026"/>
    <w:p>
      <w:pPr>
        <w:pStyle w:val="Heading1"/>
      </w:pPr>
      <w:r>
        <w:t xml:space="preserve">PE and Sport Premium Report 2025 to 2026</w:t>
      </w:r>
    </w:p>
    <w:p>
      <w:pPr>
        <w:pStyle w:val="FirstParagraph"/>
      </w:pPr>
      <w:r>
        <w:rPr>
          <w:bCs/>
          <w:b/>
        </w:rPr>
        <w:t xml:space="preserve">Egloskerry Primary School</w:t>
      </w:r>
      <w:r>
        <w:t xml:space="preserve"> </w:t>
      </w:r>
      <w:r>
        <w:t xml:space="preserve">Part of Athena Learning Trust</w:t>
      </w:r>
    </w:p>
    <w:tbl>
      <w:tblPr>
        <w:tblStyle w:val="Table"/>
        <w:tblW w:type="auto" w:w="0"/>
        <w:tblLook w:firstRow="0" w:lastRow="0" w:firstColumn="0" w:lastColumn="0" w:noHBand="0" w:noVBand="0" w:val="0000"/>
        <w:jc w:val="start"/>
      </w:tblPr>
      <w:tblGrid>
        <w:gridCol w:w="3960"/>
        <w:gridCol w:w="3960"/>
      </w:tblGrid>
      <w:tr>
        <w:tc>
          <w:tcPr/>
          <w:p>
            <w:pPr>
              <w:pStyle w:val="Compact"/>
              <w:jc w:val="left"/>
            </w:pPr>
            <w:r>
              <w:t xml:space="preserve">Academic year covered</w:t>
            </w:r>
          </w:p>
        </w:tc>
        <w:tc>
          <w:tcPr/>
          <w:p>
            <w:pPr>
              <w:pStyle w:val="Compact"/>
              <w:jc w:val="left"/>
            </w:pPr>
            <w:r>
              <w:t xml:space="preserve">2025 to 2026</w:t>
            </w:r>
          </w:p>
        </w:tc>
      </w:tr>
      <w:tr>
        <w:tc>
          <w:tcPr/>
          <w:p>
            <w:pPr>
              <w:pStyle w:val="Compact"/>
              <w:jc w:val="left"/>
            </w:pPr>
            <w:r>
              <w:t xml:space="preserve">Date published</w:t>
            </w:r>
          </w:p>
        </w:tc>
        <w:tc>
          <w:tcPr/>
          <w:p>
            <w:pPr>
              <w:pStyle w:val="Compact"/>
              <w:jc w:val="left"/>
            </w:pPr>
            <w:r>
              <w:t xml:space="preserve">27 July 2026</w:t>
            </w:r>
          </w:p>
        </w:tc>
      </w:tr>
      <w:tr>
        <w:tc>
          <w:tcPr/>
          <w:p>
            <w:pPr>
              <w:pStyle w:val="Compact"/>
              <w:jc w:val="left"/>
            </w:pPr>
            <w:r>
              <w:t xml:space="preserve">Scheduled for review by the Local Governing Body</w:t>
            </w:r>
          </w:p>
        </w:tc>
        <w:tc>
          <w:tcPr/>
          <w:p>
            <w:pPr>
              <w:pStyle w:val="Compact"/>
              <w:jc w:val="left"/>
            </w:pPr>
            <w:r>
              <w:t xml:space="preserve">October 2026</w:t>
            </w:r>
          </w:p>
        </w:tc>
      </w:tr>
      <w:tr>
        <w:tc>
          <w:tcPr/>
          <w:p>
            <w:pPr>
              <w:pStyle w:val="Compact"/>
              <w:jc w:val="left"/>
            </w:pPr>
            <w:r>
              <w:t xml:space="preserve">Lead for PE and sport</w:t>
            </w:r>
          </w:p>
        </w:tc>
        <w:tc>
          <w:tcPr/>
          <w:p>
            <w:pPr>
              <w:pStyle w:val="Compact"/>
              <w:jc w:val="left"/>
            </w:pPr>
            <w:r>
              <w:t xml:space="preserve">Tom Lyle</w:t>
            </w:r>
          </w:p>
        </w:tc>
      </w:tr>
      <w:tr>
        <w:tc>
          <w:tcPr/>
          <w:p>
            <w:pPr>
              <w:pStyle w:val="Compact"/>
              <w:jc w:val="left"/>
            </w:pPr>
            <w:r>
              <w:t xml:space="preserve">Governor with oversight of PE and sport</w:t>
            </w:r>
          </w:p>
        </w:tc>
        <w:tc>
          <w:tcPr/>
          <w:p>
            <w:pPr>
              <w:pStyle w:val="Compact"/>
              <w:jc w:val="left"/>
            </w:pPr>
            <w:r>
              <w:t xml:space="preserve">Jo Luxford</w:t>
            </w:r>
          </w:p>
        </w:tc>
      </w:tr>
      <w:tr>
        <w:tc>
          <w:tcPr/>
          <w:p>
            <w:pPr>
              <w:pStyle w:val="Compact"/>
              <w:jc w:val="left"/>
            </w:pPr>
            <w:r>
              <w:t xml:space="preserve">Date of next review</w:t>
            </w:r>
          </w:p>
        </w:tc>
        <w:tc>
          <w:tcPr/>
          <w:p>
            <w:pPr>
              <w:pStyle w:val="Compact"/>
              <w:jc w:val="left"/>
            </w:pPr>
            <w:r>
              <w:t xml:space="preserve">May 2027</w:t>
            </w:r>
          </w:p>
        </w:tc>
      </w:tr>
    </w:tbl>
    <w:p>
      <w:r>
        <w:pict>
          <v:rect style="width:0;height:1.5pt" o:hralign="center" o:hrstd="t" o:hr="t"/>
        </w:pict>
      </w:r>
    </w:p>
    <w:bookmarkStart w:id="20" w:name="what-the-pe-and-sport-premium-is-for"/>
    <w:p>
      <w:pPr>
        <w:pStyle w:val="Heading2"/>
      </w:pPr>
      <w:r>
        <w:t xml:space="preserve">1. What the PE and sport premium is for</w:t>
      </w:r>
    </w:p>
    <w:p>
      <w:pPr>
        <w:pStyle w:val="FirstParagraph"/>
      </w:pPr>
      <w:r>
        <w:t xml:space="preserve">The PE and sport premium is government funding provided to help primary schools make additional and sustainable improvements to the quality of the physical education, physical activity and sport they offer.</w:t>
      </w:r>
    </w:p>
    <w:p>
      <w:pPr>
        <w:pStyle w:val="BodyText"/>
      </w:pPr>
      <w:r>
        <w:t xml:space="preserve">The funding must be used to:</w:t>
      </w:r>
    </w:p>
    <w:p>
      <w:pPr>
        <w:numPr>
          <w:ilvl w:val="0"/>
          <w:numId w:val="1001"/>
        </w:numPr>
        <w:pStyle w:val="Compact"/>
      </w:pPr>
      <w:r>
        <w:t xml:space="preserve">build capacity and capability within the school, so that improvements benefit pupils joining us in future years</w:t>
      </w:r>
    </w:p>
    <w:p>
      <w:pPr>
        <w:numPr>
          <w:ilvl w:val="0"/>
          <w:numId w:val="1001"/>
        </w:numPr>
        <w:pStyle w:val="Compact"/>
      </w:pPr>
      <w:r>
        <w:t xml:space="preserve">develop or add to the PE, sport and physical activity that the school already provides</w:t>
      </w:r>
    </w:p>
    <w:p>
      <w:pPr>
        <w:pStyle w:val="FirstParagraph"/>
      </w:pPr>
      <w:r>
        <w:t xml:space="preserve">Schools are asked to focus their spending on five key indicators:</w:t>
      </w:r>
    </w:p>
    <w:p>
      <w:pPr>
        <w:numPr>
          <w:ilvl w:val="0"/>
          <w:numId w:val="1002"/>
        </w:numPr>
        <w:pStyle w:val="Compact"/>
      </w:pPr>
      <w:r>
        <w:t xml:space="preserve">Increasing all staff’s confidence, knowledge and skills in teaching PE and sport</w:t>
      </w:r>
    </w:p>
    <w:p>
      <w:pPr>
        <w:numPr>
          <w:ilvl w:val="0"/>
          <w:numId w:val="1002"/>
        </w:numPr>
        <w:pStyle w:val="Compact"/>
      </w:pPr>
      <w:r>
        <w:t xml:space="preserve">Increasing all pupils’ engagement in regular physical activity</w:t>
      </w:r>
    </w:p>
    <w:p>
      <w:pPr>
        <w:numPr>
          <w:ilvl w:val="0"/>
          <w:numId w:val="1002"/>
        </w:numPr>
        <w:pStyle w:val="Compact"/>
      </w:pPr>
      <w:r>
        <w:t xml:space="preserve">Raising the profile of PE and sport across the school to support whole-school improvement</w:t>
      </w:r>
    </w:p>
    <w:p>
      <w:pPr>
        <w:numPr>
          <w:ilvl w:val="0"/>
          <w:numId w:val="1002"/>
        </w:numPr>
        <w:pStyle w:val="Compact"/>
      </w:pPr>
      <w:r>
        <w:t xml:space="preserve">Offering a broader and more equal experience of a range of sports and physical activities</w:t>
      </w:r>
    </w:p>
    <w:p>
      <w:pPr>
        <w:numPr>
          <w:ilvl w:val="0"/>
          <w:numId w:val="1002"/>
        </w:numPr>
        <w:pStyle w:val="Compact"/>
      </w:pPr>
      <w:r>
        <w:t xml:space="preserve">Increasing participation in competitive sport</w:t>
      </w:r>
    </w:p>
    <w:p>
      <w:r>
        <w:pict>
          <v:rect style="width:0;height:1.5pt" o:hralign="center" o:hrstd="t" o:hr="t"/>
        </w:pict>
      </w:r>
    </w:p>
    <w:bookmarkEnd w:id="20"/>
    <w:bookmarkStart w:id="21" w:name="funding-allocation-for-2025-to-2026"/>
    <w:p>
      <w:pPr>
        <w:pStyle w:val="Heading2"/>
      </w:pPr>
      <w:r>
        <w:t xml:space="preserve">2. Funding allocation for 2025 to 2026</w:t>
      </w:r>
    </w:p>
    <w:tbl>
      <w:tblPr>
        <w:tblStyle w:val="Table"/>
        <w:tblW w:type="pct" w:w="5000"/>
        <w:tblLook w:firstRow="1" w:lastRow="0" w:firstColumn="0" w:lastColumn="0" w:noHBand="0" w:noVBand="0" w:val="0020"/>
        <w:jc w:val="start"/>
      </w:tblPr>
      <w:tblGrid>
        <w:gridCol w:w="3960"/>
        <w:gridCol w:w="3960"/>
      </w:tblGrid>
      <w:tr>
        <w:trPr>
          <w:tblHeader w:val="true"/>
        </w:trPr>
        <w:tc>
          <w:tcPr/>
          <w:p>
            <w:pPr>
              <w:pStyle w:val="Compact"/>
              <w:jc w:val="left"/>
            </w:pPr>
            <w:r>
              <w:t xml:space="preserve">Item</w:t>
            </w:r>
          </w:p>
        </w:tc>
        <w:tc>
          <w:tcPr/>
          <w:p>
            <w:pPr>
              <w:pStyle w:val="Compact"/>
              <w:jc w:val="left"/>
            </w:pPr>
            <w:r>
              <w:t xml:space="preserve">Amount</w:t>
            </w:r>
          </w:p>
        </w:tc>
      </w:tr>
      <w:tr>
        <w:tc>
          <w:tcPr/>
          <w:p>
            <w:pPr>
              <w:pStyle w:val="Compact"/>
              <w:jc w:val="left"/>
            </w:pPr>
            <w:r>
              <w:t xml:space="preserve">PE and sport premium allocation received for 2025 to 2026</w:t>
            </w:r>
          </w:p>
        </w:tc>
        <w:tc>
          <w:tcPr/>
          <w:p>
            <w:pPr>
              <w:pStyle w:val="Compact"/>
              <w:jc w:val="left"/>
            </w:pPr>
            <w:r>
              <w:t xml:space="preserve">£16,650.00</w:t>
            </w:r>
          </w:p>
        </w:tc>
      </w:tr>
      <w:tr>
        <w:tc>
          <w:tcPr/>
          <w:p>
            <w:pPr>
              <w:pStyle w:val="Compact"/>
              <w:jc w:val="left"/>
            </w:pPr>
            <w:r>
              <w:t xml:space="preserve">Total funding spent and committed</w:t>
            </w:r>
          </w:p>
        </w:tc>
        <w:tc>
          <w:tcPr/>
          <w:p>
            <w:pPr>
              <w:pStyle w:val="Compact"/>
              <w:jc w:val="left"/>
            </w:pPr>
            <w:r>
              <w:t xml:space="preserve">£17,098.05</w:t>
            </w:r>
          </w:p>
        </w:tc>
      </w:tr>
      <w:tr>
        <w:tc>
          <w:tcPr/>
          <w:p>
            <w:pPr>
              <w:pStyle w:val="Compact"/>
              <w:jc w:val="left"/>
            </w:pPr>
            <w:r>
              <w:rPr>
                <w:bCs/>
                <w:b/>
              </w:rPr>
              <w:t xml:space="preserve">Unspent funding carried forward</w:t>
            </w:r>
          </w:p>
        </w:tc>
        <w:tc>
          <w:tcPr/>
          <w:p>
            <w:pPr>
              <w:pStyle w:val="Compact"/>
              <w:jc w:val="left"/>
            </w:pPr>
            <w:r>
              <w:rPr>
                <w:bCs/>
                <w:b/>
              </w:rPr>
              <w:t xml:space="preserve">£0.00</w:t>
            </w:r>
          </w:p>
        </w:tc>
      </w:tr>
    </w:tbl>
    <w:p>
      <w:pPr>
        <w:pStyle w:val="BodyText"/>
      </w:pPr>
      <w:r>
        <w:t xml:space="preserve">We spent our full allocation during the academic year. Expenditure exceeded the grant by £448.05, and this difference has been met from the school’s core budget. No PE and sport premium funding has been carried forward into 2026 to 2027.</w:t>
      </w:r>
    </w:p>
    <w:p>
      <w:r>
        <w:pict>
          <v:rect style="width:0;height:1.5pt" o:hralign="center" o:hrstd="t" o:hr="t"/>
        </w:pict>
      </w:r>
    </w:p>
    <w:bookmarkEnd w:id="21"/>
    <w:bookmarkStart w:id="31" w:name="how-we-spent-the-funding"/>
    <w:p>
      <w:pPr>
        <w:pStyle w:val="Heading2"/>
      </w:pPr>
      <w:r>
        <w:t xml:space="preserve">3. How we spent the funding</w:t>
      </w:r>
    </w:p>
    <w:p>
      <w:pPr>
        <w:pStyle w:val="FirstParagraph"/>
      </w:pPr>
      <w:r>
        <w:t xml:space="preserve">The categories below are the headings used in the Department for Education’s expenditure reporting return, so this breakdown can be read directly against the figures we have submitted.</w:t>
      </w:r>
    </w:p>
    <w:bookmarkStart w:id="22" w:name="summary-by-category"/>
    <w:p>
      <w:pPr>
        <w:pStyle w:val="Heading3"/>
      </w:pPr>
      <w:r>
        <w:t xml:space="preserve">Summary by category</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Category</w:t>
            </w:r>
          </w:p>
        </w:tc>
        <w:tc>
          <w:tcPr/>
          <w:p>
            <w:pPr>
              <w:pStyle w:val="Compact"/>
              <w:jc w:val="left"/>
            </w:pPr>
            <w:r>
              <w:t xml:space="preserve">Amount</w:t>
            </w:r>
          </w:p>
        </w:tc>
        <w:tc>
          <w:tcPr/>
          <w:p>
            <w:pPr>
              <w:pStyle w:val="Compact"/>
              <w:jc w:val="left"/>
            </w:pPr>
            <w:r>
              <w:t xml:space="preserve">Share</w:t>
            </w:r>
          </w:p>
        </w:tc>
      </w:tr>
      <w:tr>
        <w:tc>
          <w:tcPr/>
          <w:p>
            <w:pPr>
              <w:pStyle w:val="Compact"/>
              <w:jc w:val="left"/>
            </w:pPr>
            <w:r>
              <w:t xml:space="preserve">External coaching</w:t>
            </w:r>
          </w:p>
        </w:tc>
        <w:tc>
          <w:tcPr/>
          <w:p>
            <w:pPr>
              <w:pStyle w:val="Compact"/>
              <w:jc w:val="left"/>
            </w:pPr>
            <w:r>
              <w:t xml:space="preserve">£9,870.00</w:t>
            </w:r>
          </w:p>
        </w:tc>
        <w:tc>
          <w:tcPr/>
          <w:p>
            <w:pPr>
              <w:pStyle w:val="Compact"/>
              <w:jc w:val="left"/>
            </w:pPr>
            <w:r>
              <w:t xml:space="preserve">57.7%</w:t>
            </w:r>
          </w:p>
        </w:tc>
      </w:tr>
      <w:tr>
        <w:tc>
          <w:tcPr/>
          <w:p>
            <w:pPr>
              <w:pStyle w:val="Compact"/>
              <w:jc w:val="left"/>
            </w:pPr>
            <w:r>
              <w:t xml:space="preserve">Extra curricular opportunities</w:t>
            </w:r>
          </w:p>
        </w:tc>
        <w:tc>
          <w:tcPr/>
          <w:p>
            <w:pPr>
              <w:pStyle w:val="Compact"/>
              <w:jc w:val="left"/>
            </w:pPr>
            <w:r>
              <w:t xml:space="preserve">£5,912.68</w:t>
            </w:r>
          </w:p>
        </w:tc>
        <w:tc>
          <w:tcPr/>
          <w:p>
            <w:pPr>
              <w:pStyle w:val="Compact"/>
              <w:jc w:val="left"/>
            </w:pPr>
            <w:r>
              <w:t xml:space="preserve">34.6%</w:t>
            </w:r>
          </w:p>
        </w:tc>
      </w:tr>
      <w:tr>
        <w:tc>
          <w:tcPr/>
          <w:p>
            <w:pPr>
              <w:pStyle w:val="Compact"/>
              <w:jc w:val="left"/>
            </w:pPr>
            <w:r>
              <w:t xml:space="preserve">External sports competitions, including travel</w:t>
            </w:r>
          </w:p>
        </w:tc>
        <w:tc>
          <w:tcPr/>
          <w:p>
            <w:pPr>
              <w:pStyle w:val="Compact"/>
              <w:jc w:val="left"/>
            </w:pPr>
            <w:r>
              <w:t xml:space="preserve">£490.00</w:t>
            </w:r>
          </w:p>
        </w:tc>
        <w:tc>
          <w:tcPr/>
          <w:p>
            <w:pPr>
              <w:pStyle w:val="Compact"/>
              <w:jc w:val="left"/>
            </w:pPr>
            <w:r>
              <w:t xml:space="preserve">2.9%</w:t>
            </w:r>
          </w:p>
        </w:tc>
      </w:tr>
      <w:tr>
        <w:tc>
          <w:tcPr/>
          <w:p>
            <w:pPr>
              <w:pStyle w:val="Compact"/>
              <w:jc w:val="left"/>
            </w:pPr>
            <w:r>
              <w:t xml:space="preserve">Equipment and resources</w:t>
            </w:r>
          </w:p>
        </w:tc>
        <w:tc>
          <w:tcPr/>
          <w:p>
            <w:pPr>
              <w:pStyle w:val="Compact"/>
              <w:jc w:val="left"/>
            </w:pPr>
            <w:r>
              <w:t xml:space="preserve">£405.37</w:t>
            </w:r>
          </w:p>
        </w:tc>
        <w:tc>
          <w:tcPr/>
          <w:p>
            <w:pPr>
              <w:pStyle w:val="Compact"/>
              <w:jc w:val="left"/>
            </w:pPr>
            <w:r>
              <w:t xml:space="preserve">2.4%</w:t>
            </w:r>
          </w:p>
        </w:tc>
      </w:tr>
      <w:tr>
        <w:tc>
          <w:tcPr/>
          <w:p>
            <w:pPr>
              <w:pStyle w:val="Compact"/>
              <w:jc w:val="left"/>
            </w:pPr>
            <w:r>
              <w:t xml:space="preserve">Membership and subscription</w:t>
            </w:r>
          </w:p>
        </w:tc>
        <w:tc>
          <w:tcPr/>
          <w:p>
            <w:pPr>
              <w:pStyle w:val="Compact"/>
              <w:jc w:val="left"/>
            </w:pPr>
            <w:r>
              <w:t xml:space="preserve">£350.00</w:t>
            </w:r>
          </w:p>
        </w:tc>
        <w:tc>
          <w:tcPr/>
          <w:p>
            <w:pPr>
              <w:pStyle w:val="Compact"/>
              <w:jc w:val="left"/>
            </w:pPr>
            <w:r>
              <w:t xml:space="preserve">2.0%</w:t>
            </w:r>
          </w:p>
        </w:tc>
      </w:tr>
      <w:tr>
        <w:tc>
          <w:tcPr/>
          <w:p>
            <w:pPr>
              <w:pStyle w:val="Compact"/>
              <w:jc w:val="left"/>
            </w:pPr>
            <w:r>
              <w:t xml:space="preserve">Continuing professional development (CPD)</w:t>
            </w:r>
          </w:p>
        </w:tc>
        <w:tc>
          <w:tcPr/>
          <w:p>
            <w:pPr>
              <w:pStyle w:val="Compact"/>
              <w:jc w:val="left"/>
            </w:pPr>
            <w:r>
              <w:t xml:space="preserve">£70.00</w:t>
            </w:r>
          </w:p>
        </w:tc>
        <w:tc>
          <w:tcPr/>
          <w:p>
            <w:pPr>
              <w:pStyle w:val="Compact"/>
              <w:jc w:val="left"/>
            </w:pPr>
            <w:r>
              <w:t xml:space="preserve">0.4%</w:t>
            </w:r>
          </w:p>
        </w:tc>
      </w:tr>
      <w:tr>
        <w:tc>
          <w:tcPr/>
          <w:p>
            <w:pPr>
              <w:pStyle w:val="Compact"/>
              <w:jc w:val="left"/>
            </w:pPr>
            <w:r>
              <w:t xml:space="preserve">Swimming CPD</w:t>
            </w:r>
          </w:p>
        </w:tc>
        <w:tc>
          <w:tcPr/>
          <w:p>
            <w:pPr>
              <w:pStyle w:val="Compact"/>
              <w:jc w:val="left"/>
            </w:pPr>
            <w:r>
              <w:t xml:space="preserve">£0.00</w:t>
            </w:r>
          </w:p>
        </w:tc>
        <w:tc>
          <w:tcPr/>
          <w:p>
            <w:pPr>
              <w:pStyle w:val="Compact"/>
              <w:jc w:val="left"/>
            </w:pPr>
            <w:r>
              <w:t xml:space="preserve">0.0%</w:t>
            </w:r>
          </w:p>
        </w:tc>
      </w:tr>
      <w:tr>
        <w:tc>
          <w:tcPr/>
          <w:p>
            <w:pPr>
              <w:pStyle w:val="Compact"/>
              <w:jc w:val="left"/>
            </w:pPr>
            <w:r>
              <w:t xml:space="preserve">Top-up swimming</w:t>
            </w:r>
          </w:p>
        </w:tc>
        <w:tc>
          <w:tcPr/>
          <w:p>
            <w:pPr>
              <w:pStyle w:val="Compact"/>
              <w:jc w:val="left"/>
            </w:pPr>
            <w:r>
              <w:t xml:space="preserve">£0.00</w:t>
            </w:r>
          </w:p>
        </w:tc>
        <w:tc>
          <w:tcPr/>
          <w:p>
            <w:pPr>
              <w:pStyle w:val="Compact"/>
              <w:jc w:val="left"/>
            </w:pPr>
            <w:r>
              <w:t xml:space="preserve">0.0%</w:t>
            </w:r>
          </w:p>
        </w:tc>
      </w:tr>
      <w:tr>
        <w:tc>
          <w:tcPr/>
          <w:p>
            <w:pPr>
              <w:pStyle w:val="Compact"/>
              <w:jc w:val="left"/>
            </w:pPr>
            <w:r>
              <w:t xml:space="preserve">School Games Organiser activities</w:t>
            </w:r>
          </w:p>
        </w:tc>
        <w:tc>
          <w:tcPr/>
          <w:p>
            <w:pPr>
              <w:pStyle w:val="Compact"/>
              <w:jc w:val="left"/>
            </w:pPr>
            <w:r>
              <w:t xml:space="preserve">£0.00</w:t>
            </w:r>
          </w:p>
        </w:tc>
        <w:tc>
          <w:tcPr/>
          <w:p>
            <w:pPr>
              <w:pStyle w:val="Compact"/>
              <w:jc w:val="left"/>
            </w:pPr>
            <w:r>
              <w:t xml:space="preserve">0.0%</w:t>
            </w:r>
          </w:p>
        </w:tc>
      </w:tr>
      <w:tr>
        <w:tc>
          <w:tcPr/>
          <w:p>
            <w:pPr>
              <w:pStyle w:val="Compact"/>
              <w:jc w:val="left"/>
            </w:pPr>
            <w:r>
              <w:rPr>
                <w:bCs/>
                <w:b/>
              </w:rPr>
              <w:t xml:space="preserve">Total</w:t>
            </w:r>
          </w:p>
        </w:tc>
        <w:tc>
          <w:tcPr/>
          <w:p>
            <w:pPr>
              <w:pStyle w:val="Compact"/>
              <w:jc w:val="left"/>
            </w:pPr>
            <w:r>
              <w:rPr>
                <w:bCs/>
                <w:b/>
              </w:rPr>
              <w:t xml:space="preserve">£17,098.05</w:t>
            </w:r>
          </w:p>
        </w:tc>
        <w:tc>
          <w:tcPr/>
          <w:p>
            <w:pPr>
              <w:pStyle w:val="Compact"/>
              <w:jc w:val="left"/>
            </w:pPr>
            <w:r>
              <w:rPr>
                <w:bCs/>
                <w:b/>
              </w:rPr>
              <w:t xml:space="preserve">100%</w:t>
            </w:r>
          </w:p>
        </w:tc>
      </w:tr>
    </w:tbl>
    <w:bookmarkEnd w:id="22"/>
    <w:bookmarkStart w:id="30" w:name="detailed-breakdown"/>
    <w:p>
      <w:pPr>
        <w:pStyle w:val="Heading3"/>
      </w:pPr>
      <w:r>
        <w:t xml:space="preserve">Detailed breakdown</w:t>
      </w:r>
    </w:p>
    <w:bookmarkStart w:id="23" w:name="external-coaching-9870.00"/>
    <w:p>
      <w:pPr>
        <w:pStyle w:val="Heading4"/>
      </w:pPr>
      <w:r>
        <w:t xml:space="preserve">External coaching — £9,870.00</w:t>
      </w:r>
    </w:p>
    <w:p>
      <w:pPr>
        <w:pStyle w:val="FirstParagraph"/>
      </w:pPr>
      <w:r>
        <w:t xml:space="preserve">This was our largest area of spend, and it was deliberately structured so that the benefit does not leave the school when the coach does.</w:t>
      </w:r>
    </w:p>
    <w:p>
      <w:pPr>
        <w:pStyle w:val="BodyText"/>
      </w:pPr>
      <w:r>
        <w:t xml:space="preserve">Every coaching contract this year was delivered as</w:t>
      </w:r>
      <w:r>
        <w:t xml:space="preserve"> </w:t>
      </w:r>
      <w:r>
        <w:rPr>
          <w:bCs/>
          <w:b/>
        </w:rPr>
        <w:t xml:space="preserve">team teaching</w:t>
      </w:r>
      <w:r>
        <w:t xml:space="preserve">. Our teachers and support staff planned alongside the specialist, co-delivered the sessions, and took on more of the delivery as their confidence grew. No member of staff stepped away from a lesson while a coach took over. This is a conscious model, and it is how we make sure the funding buys lasting capability rather than a term of activity.</w:t>
      </w:r>
    </w:p>
    <w:p>
      <w:pPr>
        <w:pStyle w:val="BodyText"/>
      </w:pPr>
      <w:r>
        <w:t xml:space="preserve">As a result, staff have developed and are now independently implementing subject knowledge, technical vocabulary, progression of skills, and safe practice across football, rugby, gymnastics, dance, athletics, multi-skills and surfing. Staff who previously described themselves as non-specialists are now leading sessions in these areas, planning progression across a unit, and identifying and correcting technique. That expertise is embedded in our curriculum and will be used again next year at no further cost.</w:t>
      </w:r>
    </w:p>
    <w:p>
      <w:pPr>
        <w:pStyle w:val="BodyText"/>
      </w:pPr>
      <w:r>
        <w:t xml:space="preserve">Providers this year were:</w:t>
      </w:r>
    </w:p>
    <w:p>
      <w:pPr>
        <w:numPr>
          <w:ilvl w:val="0"/>
          <w:numId w:val="1003"/>
        </w:numPr>
        <w:pStyle w:val="Compact"/>
      </w:pPr>
      <w:r>
        <w:rPr>
          <w:bCs/>
          <w:b/>
        </w:rPr>
        <w:t xml:space="preserve">Plymouth Argyle Football in the Community</w:t>
      </w:r>
      <w:r>
        <w:t xml:space="preserve"> </w:t>
      </w:r>
      <w:r>
        <w:t xml:space="preserve">— £6,440.00 for football and multi-skills sessions across the autumn, spring and summer terms</w:t>
      </w:r>
    </w:p>
    <w:p>
      <w:pPr>
        <w:numPr>
          <w:ilvl w:val="0"/>
          <w:numId w:val="1003"/>
        </w:numPr>
        <w:pStyle w:val="Compact"/>
      </w:pPr>
      <w:r>
        <w:rPr>
          <w:bCs/>
          <w:b/>
        </w:rPr>
        <w:t xml:space="preserve">Magical Tots</w:t>
      </w:r>
      <w:r>
        <w:t xml:space="preserve"> </w:t>
      </w:r>
      <w:r>
        <w:t xml:space="preserve">— £1,485.00 for dance sessions</w:t>
      </w:r>
    </w:p>
    <w:p>
      <w:pPr>
        <w:numPr>
          <w:ilvl w:val="0"/>
          <w:numId w:val="1003"/>
        </w:numPr>
        <w:pStyle w:val="Compact"/>
      </w:pPr>
      <w:r>
        <w:rPr>
          <w:bCs/>
          <w:b/>
        </w:rPr>
        <w:t xml:space="preserve">Okehampton Flyers Gymnastics Club</w:t>
      </w:r>
      <w:r>
        <w:t xml:space="preserve"> </w:t>
      </w:r>
      <w:r>
        <w:t xml:space="preserve">— £1,140.00 for gymnastics, including an after-school club</w:t>
      </w:r>
    </w:p>
    <w:p>
      <w:pPr>
        <w:numPr>
          <w:ilvl w:val="0"/>
          <w:numId w:val="1003"/>
        </w:numPr>
        <w:pStyle w:val="Compact"/>
      </w:pPr>
      <w:r>
        <w:rPr>
          <w:bCs/>
          <w:b/>
        </w:rPr>
        <w:t xml:space="preserve">Cornish Pirates</w:t>
      </w:r>
      <w:r>
        <w:t xml:space="preserve"> </w:t>
      </w:r>
      <w:r>
        <w:t xml:space="preserve">— £480.00 for rugby provision</w:t>
      </w:r>
    </w:p>
    <w:p>
      <w:pPr>
        <w:numPr>
          <w:ilvl w:val="0"/>
          <w:numId w:val="1003"/>
        </w:numPr>
        <w:pStyle w:val="Compact"/>
      </w:pPr>
      <w:r>
        <w:rPr>
          <w:bCs/>
          <w:b/>
        </w:rPr>
        <w:t xml:space="preserve">Freewave Surf Academy</w:t>
      </w:r>
      <w:r>
        <w:t xml:space="preserve"> </w:t>
      </w:r>
      <w:r>
        <w:t xml:space="preserve">— £325.00 for surf lessons, giving pupils access to a sport that reflects where we live</w:t>
      </w:r>
    </w:p>
    <w:p>
      <w:pPr>
        <w:pStyle w:val="FirstParagraph"/>
      </w:pPr>
      <w:r>
        <w:t xml:space="preserve">The impact on pupils has been twofold. They benefit from specialist input at the time, and then from better-informed teaching from their own staff afterwards. Just as importantly, exposure to specialists has encouraged pupils to keep going: into our lunchtime and after-school clubs, into our enrichment programme, and in a growing number of cases into</w:t>
      </w:r>
      <w:r>
        <w:t xml:space="preserve"> </w:t>
      </w:r>
      <w:r>
        <w:rPr>
          <w:bCs/>
          <w:b/>
        </w:rPr>
        <w:t xml:space="preserve">local community clubs outside school</w:t>
      </w:r>
      <w:r>
        <w:t xml:space="preserve">, where they continue the sport independently of us.</w:t>
      </w:r>
    </w:p>
    <w:bookmarkEnd w:id="23"/>
    <w:bookmarkStart w:id="24" w:name="extra-curricular-opportunities-5912.68"/>
    <w:p>
      <w:pPr>
        <w:pStyle w:val="Heading4"/>
      </w:pPr>
      <w:r>
        <w:t xml:space="preserve">Extra curricular opportunities — £5,912.68</w:t>
      </w:r>
    </w:p>
    <w:p>
      <w:pPr>
        <w:numPr>
          <w:ilvl w:val="0"/>
          <w:numId w:val="1004"/>
        </w:numPr>
        <w:pStyle w:val="Compact"/>
      </w:pPr>
      <w:r>
        <w:rPr>
          <w:bCs/>
          <w:b/>
        </w:rPr>
        <w:t xml:space="preserve">£4,608.81</w:t>
      </w:r>
      <w:r>
        <w:t xml:space="preserve"> </w:t>
      </w:r>
      <w:r>
        <w:t xml:space="preserve">— additional active play supervision above our minimum staffing requirement, calculated as 185 pupil days at 1.25 hours per day. This additional capacity is what makes our daily active play and club programme possible.</w:t>
      </w:r>
    </w:p>
    <w:p>
      <w:pPr>
        <w:numPr>
          <w:ilvl w:val="0"/>
          <w:numId w:val="1004"/>
        </w:numPr>
        <w:pStyle w:val="Compact"/>
      </w:pPr>
      <w:r>
        <w:rPr>
          <w:bCs/>
          <w:b/>
        </w:rPr>
        <w:t xml:space="preserve">£850.00</w:t>
      </w:r>
      <w:r>
        <w:t xml:space="preserve"> </w:t>
      </w:r>
      <w:r>
        <w:t xml:space="preserve">— coach hire for our beach activity day</w:t>
      </w:r>
    </w:p>
    <w:p>
      <w:pPr>
        <w:numPr>
          <w:ilvl w:val="0"/>
          <w:numId w:val="1004"/>
        </w:numPr>
        <w:pStyle w:val="Compact"/>
      </w:pPr>
      <w:r>
        <w:rPr>
          <w:bCs/>
          <w:b/>
        </w:rPr>
        <w:t xml:space="preserve">£321.25</w:t>
      </w:r>
      <w:r>
        <w:t xml:space="preserve"> </w:t>
      </w:r>
      <w:r>
        <w:t xml:space="preserve">— additional staffing so that pupils with SEND could access extra-curricular sporting activities alongside their peers</w:t>
      </w:r>
    </w:p>
    <w:p>
      <w:pPr>
        <w:numPr>
          <w:ilvl w:val="0"/>
          <w:numId w:val="1004"/>
        </w:numPr>
        <w:pStyle w:val="Compact"/>
      </w:pPr>
      <w:r>
        <w:rPr>
          <w:bCs/>
          <w:b/>
        </w:rPr>
        <w:t xml:space="preserve">£132.62</w:t>
      </w:r>
      <w:r>
        <w:t xml:space="preserve"> </w:t>
      </w:r>
      <w:r>
        <w:t xml:space="preserve">— additional staffing to run sporting events during the year</w:t>
      </w:r>
    </w:p>
    <w:bookmarkEnd w:id="24"/>
    <w:bookmarkStart w:id="25" w:name="X6e73afdeb4a9a621c11611686d96be16f351a48"/>
    <w:p>
      <w:pPr>
        <w:pStyle w:val="Heading4"/>
      </w:pPr>
      <w:r>
        <w:t xml:space="preserve">External sports competitions, including travel — £490.00</w:t>
      </w:r>
    </w:p>
    <w:p>
      <w:pPr>
        <w:numPr>
          <w:ilvl w:val="0"/>
          <w:numId w:val="1005"/>
        </w:numPr>
        <w:pStyle w:val="Compact"/>
      </w:pPr>
      <w:r>
        <w:rPr>
          <w:bCs/>
          <w:b/>
        </w:rPr>
        <w:t xml:space="preserve">£370.00</w:t>
      </w:r>
      <w:r>
        <w:t xml:space="preserve"> </w:t>
      </w:r>
      <w:r>
        <w:t xml:space="preserve">— transport to the Greenpower Goblin event</w:t>
      </w:r>
    </w:p>
    <w:p>
      <w:pPr>
        <w:numPr>
          <w:ilvl w:val="0"/>
          <w:numId w:val="1005"/>
        </w:numPr>
        <w:pStyle w:val="Compact"/>
      </w:pPr>
      <w:r>
        <w:rPr>
          <w:bCs/>
          <w:b/>
        </w:rPr>
        <w:t xml:space="preserve">£120.00</w:t>
      </w:r>
      <w:r>
        <w:t xml:space="preserve"> </w:t>
      </w:r>
      <w:r>
        <w:t xml:space="preserve">— team entries to Greenpower Education Trust events at Predannack</w:t>
      </w:r>
    </w:p>
    <w:bookmarkEnd w:id="25"/>
    <w:bookmarkStart w:id="26" w:name="equipment-and-resources-405.37"/>
    <w:p>
      <w:pPr>
        <w:pStyle w:val="Heading4"/>
      </w:pPr>
      <w:r>
        <w:t xml:space="preserve">Equipment and resources — £405.37</w:t>
      </w:r>
    </w:p>
    <w:p>
      <w:pPr>
        <w:numPr>
          <w:ilvl w:val="0"/>
          <w:numId w:val="1006"/>
        </w:numPr>
        <w:pStyle w:val="Compact"/>
      </w:pPr>
      <w:r>
        <w:rPr>
          <w:bCs/>
          <w:b/>
        </w:rPr>
        <w:t xml:space="preserve">£290.40</w:t>
      </w:r>
      <w:r>
        <w:t xml:space="preserve"> </w:t>
      </w:r>
      <w:r>
        <w:t xml:space="preserve">— gymnastics equipment and safety equipment</w:t>
      </w:r>
    </w:p>
    <w:p>
      <w:pPr>
        <w:numPr>
          <w:ilvl w:val="0"/>
          <w:numId w:val="1006"/>
        </w:numPr>
        <w:pStyle w:val="Compact"/>
      </w:pPr>
      <w:r>
        <w:rPr>
          <w:bCs/>
          <w:b/>
        </w:rPr>
        <w:t xml:space="preserve">£114.97</w:t>
      </w:r>
      <w:r>
        <w:t xml:space="preserve"> </w:t>
      </w:r>
      <w:r>
        <w:t xml:space="preserve">— two-way radios to support safe supervision of outdoor and off-site activity</w:t>
      </w:r>
    </w:p>
    <w:bookmarkEnd w:id="26"/>
    <w:bookmarkStart w:id="27" w:name="membership-and-subscription-350.00"/>
    <w:p>
      <w:pPr>
        <w:pStyle w:val="Heading4"/>
      </w:pPr>
      <w:r>
        <w:t xml:space="preserve">Membership and subscription — £350.00</w:t>
      </w:r>
    </w:p>
    <w:p>
      <w:pPr>
        <w:pStyle w:val="FirstParagraph"/>
      </w:pPr>
      <w:r>
        <w:t xml:space="preserve">Westcountry Schools Trust sports network membership for 2025 to 2026. As well as giving us access to fixtures, competitions and shared expertise across the trust, the network provides our staff with</w:t>
      </w:r>
      <w:r>
        <w:t xml:space="preserve"> </w:t>
      </w:r>
      <w:r>
        <w:rPr>
          <w:bCs/>
          <w:b/>
        </w:rPr>
        <w:t xml:space="preserve">support and guidance on developing and delivering activities safely</w:t>
      </w:r>
      <w:r>
        <w:t xml:space="preserve"> </w:t>
      </w:r>
      <w:r>
        <w:t xml:space="preserve">— including risk assessment, safe practice in specific sports, and advice on adapting activities for pupils with additional needs. For a small school this external professional guidance is a significant part of the value.</w:t>
      </w:r>
    </w:p>
    <w:bookmarkEnd w:id="27"/>
    <w:bookmarkStart w:id="28" w:name="X0b8dd0e3c83fe08f184c538e9416f91322c13ee"/>
    <w:p>
      <w:pPr>
        <w:pStyle w:val="Heading4"/>
      </w:pPr>
      <w:r>
        <w:t xml:space="preserve">Continuing professional development — £70.00</w:t>
      </w:r>
    </w:p>
    <w:p>
      <w:pPr>
        <w:pStyle w:val="FirstParagraph"/>
      </w:pPr>
      <w:r>
        <w:t xml:space="preserve">Direct CPD for staff organising sporting events. As set out in section 5, a substantial amount of further staff development was delivered in kind or funded from the core budget during the year, which is why this figure is small relative to the scale of CPD actually undertaken.</w:t>
      </w:r>
    </w:p>
    <w:bookmarkEnd w:id="28"/>
    <w:bookmarkStart w:id="29" w:name="X616aaa1a8267ece85657199007d3cd5e500e3f7"/>
    <w:p>
      <w:pPr>
        <w:pStyle w:val="Heading4"/>
      </w:pPr>
      <w:r>
        <w:t xml:space="preserve">Swimming CPD, top-up swimming and School Games Organiser activities — £0.00</w:t>
      </w:r>
    </w:p>
    <w:p>
      <w:pPr>
        <w:pStyle w:val="FirstParagraph"/>
      </w:pPr>
      <w:r>
        <w:t xml:space="preserve">No premium funding was spent under these headings this year. Swimming is funded outside the PE and sport premium, as set out in section 6.</w:t>
      </w:r>
    </w:p>
    <w:p>
      <w:r>
        <w:pict>
          <v:rect style="width:0;height:1.5pt" o:hralign="center" o:hrstd="t" o:hr="t"/>
        </w:pict>
      </w:r>
    </w:p>
    <w:bookmarkEnd w:id="29"/>
    <w:bookmarkEnd w:id="30"/>
    <w:bookmarkEnd w:id="31"/>
    <w:bookmarkStart w:id="38" w:name="impact-on-pupils"/>
    <w:p>
      <w:pPr>
        <w:pStyle w:val="Heading2"/>
      </w:pPr>
      <w:r>
        <w:t xml:space="preserve">4. Impact on pupils</w:t>
      </w:r>
    </w:p>
    <w:bookmarkStart w:id="32" w:name="Xb3693bbe3feb998ae57694d8e296c8da86d156f"/>
    <w:p>
      <w:pPr>
        <w:pStyle w:val="Heading3"/>
      </w:pPr>
      <w:r>
        <w:t xml:space="preserve">Participation in regular physical activity</w:t>
      </w:r>
    </w:p>
    <w:p>
      <w:pPr>
        <w:pStyle w:val="FirstParagraph"/>
      </w:pPr>
      <w:r>
        <w:t xml:space="preserve">Every child at Egloskerry now has a minimum of</w:t>
      </w:r>
      <w:r>
        <w:t xml:space="preserve"> </w:t>
      </w:r>
      <w:r>
        <w:rPr>
          <w:bCs/>
          <w:b/>
        </w:rPr>
        <w:t xml:space="preserve">45 minutes of active playtime every day</w:t>
      </w:r>
      <w:r>
        <w:t xml:space="preserve">, supervised and led by trained support staff, alongside</w:t>
      </w:r>
      <w:r>
        <w:t xml:space="preserve"> </w:t>
      </w:r>
      <w:r>
        <w:rPr>
          <w:bCs/>
          <w:b/>
        </w:rPr>
        <w:t xml:space="preserve">two hours of timetabled PE each week</w:t>
      </w:r>
      <w:r>
        <w:t xml:space="preserve"> </w:t>
      </w:r>
      <w:r>
        <w:t xml:space="preserve">— delivered as two 60-minute sessions. This exceeds the national expectation of at least two hours of high-quality PE and sport a week, and makes a substantial contribution towards the Chief Medical Officers’ recommendation of 60 minutes of moderate to vigorous physical activity a day.</w:t>
      </w:r>
    </w:p>
    <w:p>
      <w:pPr>
        <w:pStyle w:val="BodyText"/>
      </w:pPr>
      <w:r>
        <w:rPr>
          <w:bCs/>
          <w:b/>
        </w:rPr>
        <w:t xml:space="preserve">Every pupil in the school has taken part in at least one club or event during 2025 to 2026.</w:t>
      </w:r>
    </w:p>
    <w:p>
      <w:pPr>
        <w:pStyle w:val="BodyText"/>
      </w:pPr>
      <w:r>
        <w:t xml:space="preserve">Our lunchtime and enrichment programme this year has included gardening club, football club, dance activities, play leaders, netball and rounders.</w:t>
      </w:r>
    </w:p>
    <w:bookmarkEnd w:id="32"/>
    <w:bookmarkStart w:id="33" w:name="breadth-of-experience"/>
    <w:p>
      <w:pPr>
        <w:pStyle w:val="Heading3"/>
      </w:pPr>
      <w:r>
        <w:t xml:space="preserve">Breadth of experience</w:t>
      </w:r>
    </w:p>
    <w:p>
      <w:pPr>
        <w:pStyle w:val="FirstParagraph"/>
      </w:pPr>
      <w:r>
        <w:t xml:space="preserve">Pupils have taken part in football, rugby, gymnastics, dance, netball, rounders, multi-skills, athletics, badminton, tennis, surfing and outdoor education this year.</w:t>
      </w:r>
    </w:p>
    <w:p>
      <w:pPr>
        <w:pStyle w:val="BodyText"/>
      </w:pPr>
      <w:r>
        <w:t xml:space="preserve">Several patterns have emerged that are shaping our planning:</w:t>
      </w:r>
    </w:p>
    <w:p>
      <w:pPr>
        <w:numPr>
          <w:ilvl w:val="0"/>
          <w:numId w:val="1007"/>
        </w:numPr>
        <w:pStyle w:val="Compact"/>
      </w:pPr>
      <w:r>
        <w:rPr>
          <w:bCs/>
          <w:b/>
        </w:rPr>
        <w:t xml:space="preserve">Dance is growing quickly.</w:t>
      </w:r>
      <w:r>
        <w:t xml:space="preserve"> </w:t>
      </w:r>
      <w:r>
        <w:t xml:space="preserve">It has proved increasingly popular and has now become a regular feature of our breakfast club. We are expanding this in 2026 to 2027 with more opportunities for both formal and informal dance.</w:t>
      </w:r>
    </w:p>
    <w:p>
      <w:pPr>
        <w:numPr>
          <w:ilvl w:val="0"/>
          <w:numId w:val="1007"/>
        </w:numPr>
        <w:pStyle w:val="Compact"/>
      </w:pPr>
      <w:r>
        <w:rPr>
          <w:bCs/>
          <w:b/>
        </w:rPr>
        <w:t xml:space="preserve">Gymnastics continues to be popular</w:t>
      </w:r>
      <w:r>
        <w:t xml:space="preserve">, and a number of children are now taking part in gymnastics events and competitions outside school, independently of the provision we fund.</w:t>
      </w:r>
    </w:p>
    <w:p>
      <w:pPr>
        <w:numPr>
          <w:ilvl w:val="0"/>
          <w:numId w:val="1007"/>
        </w:numPr>
        <w:pStyle w:val="Compact"/>
      </w:pPr>
      <w:r>
        <w:rPr>
          <w:bCs/>
          <w:b/>
        </w:rPr>
        <w:t xml:space="preserve">Skills are transferring into free play.</w:t>
      </w:r>
      <w:r>
        <w:t xml:space="preserve"> </w:t>
      </w:r>
      <w:r>
        <w:t xml:space="preserve">Children are replicating techniques learnt in PE lessons during their own playtime, making active use of the outdoor play equipment without adult direction. This is a good indicator that learning has stuck.</w:t>
      </w:r>
    </w:p>
    <w:p>
      <w:pPr>
        <w:numPr>
          <w:ilvl w:val="0"/>
          <w:numId w:val="1007"/>
        </w:numPr>
        <w:pStyle w:val="Compact"/>
      </w:pPr>
      <w:r>
        <w:rPr>
          <w:bCs/>
          <w:b/>
        </w:rPr>
        <w:t xml:space="preserve">Surfing connects school to home.</w:t>
      </w:r>
      <w:r>
        <w:t xml:space="preserve"> </w:t>
      </w:r>
      <w:r>
        <w:t xml:space="preserve">Providing a surf experience supports children and families to explore an activity that is directly relevant to where we live, and that they can continue together during the school holidays.</w:t>
      </w:r>
    </w:p>
    <w:p>
      <w:pPr>
        <w:pStyle w:val="FirstParagraph"/>
      </w:pPr>
      <w:r>
        <w:t xml:space="preserve">In 2026 to 2027 we intend to introduce</w:t>
      </w:r>
      <w:r>
        <w:t xml:space="preserve"> </w:t>
      </w:r>
      <w:r>
        <w:rPr>
          <w:bCs/>
          <w:b/>
        </w:rPr>
        <w:t xml:space="preserve">pickleball</w:t>
      </w:r>
      <w:r>
        <w:t xml:space="preserve"> </w:t>
      </w:r>
      <w:r>
        <w:t xml:space="preserve">and, potentially,</w:t>
      </w:r>
      <w:r>
        <w:t xml:space="preserve"> </w:t>
      </w:r>
      <w:r>
        <w:rPr>
          <w:bCs/>
          <w:b/>
        </w:rPr>
        <w:t xml:space="preserve">orienteering</w:t>
      </w:r>
      <w:r>
        <w:t xml:space="preserve"> </w:t>
      </w:r>
      <w:r>
        <w:t xml:space="preserve">into the curriculum, and to add</w:t>
      </w:r>
      <w:r>
        <w:t xml:space="preserve"> </w:t>
      </w:r>
      <w:r>
        <w:rPr>
          <w:bCs/>
          <w:b/>
        </w:rPr>
        <w:t xml:space="preserve">cross country</w:t>
      </w:r>
      <w:r>
        <w:t xml:space="preserve"> </w:t>
      </w:r>
      <w:r>
        <w:t xml:space="preserve">to the extra-curricular programme.</w:t>
      </w:r>
    </w:p>
    <w:bookmarkEnd w:id="33"/>
    <w:bookmarkStart w:id="34" w:name="equal-access-and-targeted-support"/>
    <w:p>
      <w:pPr>
        <w:pStyle w:val="Heading3"/>
      </w:pPr>
      <w:r>
        <w:t xml:space="preserve">Equal access and targeted support</w:t>
      </w:r>
    </w:p>
    <w:p>
      <w:pPr>
        <w:pStyle w:val="FirstParagraph"/>
      </w:pPr>
      <w:r>
        <w:t xml:space="preserve">We have made sure that every pupil who wanted to attend an event had an equal chance of doing so. Attendance by vulnerable pupils has been actively prioritised, through:</w:t>
      </w:r>
    </w:p>
    <w:p>
      <w:pPr>
        <w:numPr>
          <w:ilvl w:val="0"/>
          <w:numId w:val="1008"/>
        </w:numPr>
        <w:pStyle w:val="Compact"/>
      </w:pPr>
      <w:r>
        <w:t xml:space="preserve">providing transport where it would otherwise be a barrier</w:t>
      </w:r>
    </w:p>
    <w:p>
      <w:pPr>
        <w:numPr>
          <w:ilvl w:val="0"/>
          <w:numId w:val="1008"/>
        </w:numPr>
        <w:pStyle w:val="Compact"/>
      </w:pPr>
      <w:r>
        <w:t xml:space="preserve">funding additional staffing so pupils with SEND could take part alongside their peers</w:t>
      </w:r>
    </w:p>
    <w:p>
      <w:pPr>
        <w:numPr>
          <w:ilvl w:val="0"/>
          <w:numId w:val="1008"/>
        </w:numPr>
        <w:pStyle w:val="Compact"/>
      </w:pPr>
      <w:r>
        <w:t xml:space="preserve">direct communication with parents, rather than relying on general letters, so that opportunities are not missed</w:t>
      </w:r>
    </w:p>
    <w:bookmarkEnd w:id="34"/>
    <w:bookmarkStart w:id="35" w:name="competitive-sport"/>
    <w:p>
      <w:pPr>
        <w:pStyle w:val="Heading3"/>
      </w:pPr>
      <w:r>
        <w:t xml:space="preserve">Competitive sport</w:t>
      </w:r>
    </w:p>
    <w:p>
      <w:pPr>
        <w:pStyle w:val="FirstParagraph"/>
      </w:pPr>
      <w:r>
        <w:t xml:space="preserve">We entered</w:t>
      </w:r>
      <w:r>
        <w:t xml:space="preserve"> </w:t>
      </w:r>
      <w:r>
        <w:rPr>
          <w:bCs/>
          <w:b/>
        </w:rPr>
        <w:t xml:space="preserve">7 competitions and events</w:t>
      </w:r>
      <w:r>
        <w:t xml:space="preserve"> </w:t>
      </w:r>
      <w:r>
        <w:t xml:space="preserve">this year, and held sporting competitions within school, culminating in an</w:t>
      </w:r>
      <w:r>
        <w:t xml:space="preserve"> </w:t>
      </w:r>
      <w:r>
        <w:rPr>
          <w:bCs/>
          <w:b/>
        </w:rPr>
        <w:t xml:space="preserve">inter-house sports day in the summer term</w:t>
      </w:r>
      <w:r>
        <w:t xml:space="preserve">.</w:t>
      </w:r>
    </w:p>
    <w:p>
      <w:pPr>
        <w:pStyle w:val="BodyText"/>
      </w:pPr>
      <w:r>
        <w:rPr>
          <w:bCs/>
          <w:b/>
        </w:rPr>
        <w:t xml:space="preserve">Every pupil in the school competed for their house at sports day</w:t>
      </w:r>
      <w:r>
        <w:t xml:space="preserve">, so all our children have experienced representing a team in a competitive setting.</w:t>
      </w:r>
    </w:p>
    <w:p>
      <w:pPr>
        <w:pStyle w:val="BodyText"/>
      </w:pPr>
      <w:r>
        <w:t xml:space="preserve">Beyond school,</w:t>
      </w:r>
      <w:r>
        <w:t xml:space="preserve"> </w:t>
      </w:r>
      <w:r>
        <w:rPr>
          <w:bCs/>
          <w:b/>
        </w:rPr>
        <w:t xml:space="preserve">60 pupils — 77% of the cohort — represented Egloskerry at an external event or competition this year</w:t>
      </w:r>
      <w:r>
        <w:t xml:space="preserve">, and</w:t>
      </w:r>
      <w:r>
        <w:t xml:space="preserve"> </w:t>
      </w:r>
      <w:r>
        <w:rPr>
          <w:bCs/>
          <w:b/>
        </w:rPr>
        <w:t xml:space="preserve">every pupil in Key Stage 2 took part in at least one event</w:t>
      </w:r>
      <w:r>
        <w:t xml:space="preserve">.</w:t>
      </w:r>
    </w:p>
    <w:p>
      <w:pPr>
        <w:pStyle w:val="BodyText"/>
      </w:pPr>
      <w:r>
        <w:t xml:space="preserve">Our entry into 7 competitions is slightly down on previous years. Two factors account for this: some locally offered events clashed with dates already committed to other activities, and transport logistics and costs continue to limit our participation in events further afield. Addressing this is one of our priorities for next year.</w:t>
      </w:r>
    </w:p>
    <w:bookmarkEnd w:id="35"/>
    <w:bookmarkStart w:id="36" w:name="attainment-in-pe"/>
    <w:p>
      <w:pPr>
        <w:pStyle w:val="Heading3"/>
      </w:pPr>
      <w:r>
        <w:t xml:space="preserve">Attainment in PE</w:t>
      </w:r>
    </w:p>
    <w:p>
      <w:pPr>
        <w:pStyle w:val="FirstParagraph"/>
      </w:pPr>
      <w:r>
        <w:rPr>
          <w:bCs/>
          <w:b/>
        </w:rPr>
        <w:t xml:space="preserve">90% of pupils in Key Stage 1 and Key Stage 2 met or exceeded the expected standard in physical education</w:t>
      </w:r>
      <w:r>
        <w:t xml:space="preserve"> </w:t>
      </w:r>
      <w:r>
        <w:t xml:space="preserve">by the end of the academic year.</w:t>
      </w:r>
    </w:p>
    <w:bookmarkEnd w:id="36"/>
    <w:bookmarkStart w:id="37" w:name="wider-impact"/>
    <w:p>
      <w:pPr>
        <w:pStyle w:val="Heading3"/>
      </w:pPr>
      <w:r>
        <w:t xml:space="preserve">Wider impact</w:t>
      </w:r>
    </w:p>
    <w:p>
      <w:pPr>
        <w:pStyle w:val="FirstParagraph"/>
      </w:pPr>
      <w:r>
        <w:t xml:space="preserve">Pupils enjoy PE, and this shows in the data:</w:t>
      </w:r>
      <w:r>
        <w:t xml:space="preserve"> </w:t>
      </w:r>
      <w:r>
        <w:rPr>
          <w:bCs/>
          <w:b/>
        </w:rPr>
        <w:t xml:space="preserve">attendance on days when special sporting events take place is higher than our average attendance</w:t>
      </w:r>
      <w:r>
        <w:t xml:space="preserve">.</w:t>
      </w:r>
    </w:p>
    <w:p>
      <w:pPr>
        <w:pStyle w:val="BodyText"/>
      </w:pPr>
      <w:r>
        <w:t xml:space="preserve">Ensuring pupils are physically active during the day has improved behaviour across the school, with fewer incidents of distraction and disruption in lessons.</w:t>
      </w:r>
    </w:p>
    <w:p>
      <w:pPr>
        <w:pStyle w:val="BodyText"/>
      </w:pPr>
      <w:r>
        <w:t xml:space="preserve">We support children to be active in all weathers. We keep wet weather clothing and wellington boots on site so that we can use our grounds proactively — when the playground is too icy in winter, boots and coats mean we can still use the field. In extreme heat, play activities are moved to cooler parts of the day or into the shade, and water-based activities have been very popular. Changes like these are communicated to parents on the day. The children’s own verdict on them is that they are the</w:t>
      </w:r>
      <w:r>
        <w:t xml:space="preserve"> </w:t>
      </w:r>
      <w:r>
        <w:t xml:space="preserve">“</w:t>
      </w:r>
      <w:r>
        <w:t xml:space="preserve">best day ever</w:t>
      </w:r>
      <w:r>
        <w:t xml:space="preserve">”</w:t>
      </w:r>
      <w:r>
        <w:t xml:space="preserve">.</w:t>
      </w:r>
    </w:p>
    <w:p>
      <w:r>
        <w:pict>
          <v:rect style="width:0;height:1.5pt" o:hralign="center" o:hrstd="t" o:hr="t"/>
        </w:pict>
      </w:r>
    </w:p>
    <w:bookmarkEnd w:id="37"/>
    <w:bookmarkEnd w:id="38"/>
    <w:bookmarkStart w:id="39" w:name="staff-development-and-building-capacity"/>
    <w:p>
      <w:pPr>
        <w:pStyle w:val="Heading2"/>
      </w:pPr>
      <w:r>
        <w:t xml:space="preserve">5. Staff development and building capacity</w:t>
      </w:r>
    </w:p>
    <w:p>
      <w:pPr>
        <w:pStyle w:val="FirstParagraph"/>
      </w:pPr>
      <w:r>
        <w:t xml:space="preserve">Building the expertise of our own staff is the most effective way of making sure improvements last beyond the funding. This year:</w:t>
      </w:r>
    </w:p>
    <w:p>
      <w:pPr>
        <w:numPr>
          <w:ilvl w:val="0"/>
          <w:numId w:val="1009"/>
        </w:numPr>
        <w:pStyle w:val="Compact"/>
      </w:pPr>
      <w:r>
        <w:rPr>
          <w:bCs/>
          <w:b/>
        </w:rPr>
        <w:t xml:space="preserve">Coaching alongside staff.</w:t>
      </w:r>
      <w:r>
        <w:t xml:space="preserve"> </w:t>
      </w:r>
      <w:r>
        <w:t xml:space="preserve">As set out in section 3, every external coaching contract was delivered as team teaching. Staff have developed and are now implementing subject knowledge and skills in football, rugby, gymnastics, dance, athletics, multi-skills and surfing that they retain and will use in future years.</w:t>
      </w:r>
    </w:p>
    <w:p>
      <w:pPr>
        <w:numPr>
          <w:ilvl w:val="0"/>
          <w:numId w:val="1009"/>
        </w:numPr>
        <w:pStyle w:val="Compact"/>
      </w:pPr>
      <w:r>
        <w:rPr>
          <w:bCs/>
          <w:b/>
        </w:rPr>
        <w:t xml:space="preserve">Internally led PE CPD.</w:t>
      </w:r>
      <w:r>
        <w:t xml:space="preserve"> </w:t>
      </w:r>
      <w:r>
        <w:t xml:space="preserve">A seconded secondary school PE teacher has led a programme of professional development for our staff throughout the year, funded from the school’s core budget.</w:t>
      </w:r>
    </w:p>
    <w:p>
      <w:pPr>
        <w:numPr>
          <w:ilvl w:val="0"/>
          <w:numId w:val="1009"/>
        </w:numPr>
        <w:pStyle w:val="Compact"/>
      </w:pPr>
      <w:r>
        <w:rPr>
          <w:bCs/>
          <w:b/>
        </w:rPr>
        <w:t xml:space="preserve">Dance project CPD.</w:t>
      </w:r>
      <w:r>
        <w:t xml:space="preserve"> </w:t>
      </w:r>
      <w:r>
        <w:t xml:space="preserve">In March 2026 staff took part in a dance project that provided professional development at no cost to the school. This has contributed directly to the growth of dance in our curriculum and breakfast club.</w:t>
      </w:r>
    </w:p>
    <w:p>
      <w:pPr>
        <w:numPr>
          <w:ilvl w:val="0"/>
          <w:numId w:val="1009"/>
        </w:numPr>
        <w:pStyle w:val="Compact"/>
      </w:pPr>
      <w:r>
        <w:rPr>
          <w:bCs/>
          <w:b/>
        </w:rPr>
        <w:t xml:space="preserve">Safe practice guidance.</w:t>
      </w:r>
      <w:r>
        <w:t xml:space="preserve"> </w:t>
      </w:r>
      <w:r>
        <w:t xml:space="preserve">Our sports network membership has given staff ongoing access to guidance on delivering activities safely.</w:t>
      </w:r>
    </w:p>
    <w:p>
      <w:pPr>
        <w:numPr>
          <w:ilvl w:val="0"/>
          <w:numId w:val="1009"/>
        </w:numPr>
        <w:pStyle w:val="Compact"/>
      </w:pPr>
      <w:r>
        <w:rPr>
          <w:bCs/>
          <w:b/>
        </w:rPr>
        <w:t xml:space="preserve">First aid.</w:t>
      </w:r>
      <w:r>
        <w:t xml:space="preserve"> </w:t>
      </w:r>
      <w:r>
        <w:t xml:space="preserve">All staff completed first aid retraining during the year, funded from the core school budget. This underpins our ability to run off-site fixtures and lunchtime clubs safely.</w:t>
      </w:r>
    </w:p>
    <w:p>
      <w:r>
        <w:pict>
          <v:rect style="width:0;height:1.5pt" o:hralign="center" o:hrstd="t" o:hr="t"/>
        </w:pict>
      </w:r>
    </w:p>
    <w:bookmarkEnd w:id="39"/>
    <w:bookmarkStart w:id="40" w:name="swimming-and-water-safety"/>
    <w:p>
      <w:pPr>
        <w:pStyle w:val="Heading2"/>
      </w:pPr>
      <w:r>
        <w:t xml:space="preserve">6. Swimming and water safety</w:t>
      </w:r>
    </w:p>
    <w:p>
      <w:pPr>
        <w:pStyle w:val="FirstParagraph"/>
      </w:pPr>
      <w:r>
        <w:t xml:space="preserve">The national curriculum requires pupils to be able to swim competently, confidently and proficiently over a distance of at least 25 metres, to use a range of strokes effectively, and to perform safe self-rescue in different water-based situations.</w:t>
      </w:r>
    </w:p>
    <w:p>
      <w:pPr>
        <w:pStyle w:val="BodyText"/>
      </w:pPr>
      <w:r>
        <w:t xml:space="preserve">Swimming lessons are delivered in Key Stage 2, and the attainment evidence below was gathered during this academic year.</w:t>
      </w:r>
    </w:p>
    <w:tbl>
      <w:tblPr>
        <w:tblStyle w:val="Table"/>
        <w:tblW w:type="pct" w:w="5000"/>
        <w:tblLook w:firstRow="1" w:lastRow="0" w:firstColumn="0" w:lastColumn="0" w:noHBand="0" w:noVBand="0" w:val="0020"/>
        <w:jc w:val="start"/>
      </w:tblPr>
      <w:tblGrid>
        <w:gridCol w:w="3960"/>
        <w:gridCol w:w="3960"/>
      </w:tblGrid>
      <w:tr>
        <w:trPr>
          <w:tblHeader w:val="true"/>
        </w:trPr>
        <w:tc>
          <w:tcPr/>
          <w:p>
            <w:pPr>
              <w:pStyle w:val="Compact"/>
              <w:jc w:val="left"/>
            </w:pPr>
            <w:r>
              <w:t xml:space="preserve">Requirement</w:t>
            </w:r>
          </w:p>
        </w:tc>
        <w:tc>
          <w:tcPr/>
          <w:p>
            <w:pPr>
              <w:pStyle w:val="Compact"/>
              <w:jc w:val="left"/>
            </w:pPr>
            <w:r>
              <w:t xml:space="preserve">Percentage of our Year 6 cohort who met it</w:t>
            </w:r>
          </w:p>
        </w:tc>
      </w:tr>
      <w:tr>
        <w:tc>
          <w:tcPr/>
          <w:p>
            <w:pPr>
              <w:pStyle w:val="Compact"/>
              <w:jc w:val="left"/>
            </w:pPr>
            <w:r>
              <w:t xml:space="preserve">Swim competently, confidently and proficiently over at least 25 metres</w:t>
            </w:r>
          </w:p>
        </w:tc>
        <w:tc>
          <w:tcPr/>
          <w:p>
            <w:pPr>
              <w:pStyle w:val="Compact"/>
              <w:jc w:val="left"/>
            </w:pPr>
            <w:r>
              <w:t xml:space="preserve">71% (5 of 7 pupils)</w:t>
            </w:r>
          </w:p>
        </w:tc>
      </w:tr>
      <w:tr>
        <w:tc>
          <w:tcPr/>
          <w:p>
            <w:pPr>
              <w:pStyle w:val="Compact"/>
              <w:jc w:val="left"/>
            </w:pPr>
            <w:r>
              <w:t xml:space="preserve">Use a range of strokes effectively, for example front crawl, backstroke and breaststroke</w:t>
            </w:r>
          </w:p>
        </w:tc>
        <w:tc>
          <w:tcPr/>
          <w:p>
            <w:pPr>
              <w:pStyle w:val="Compact"/>
              <w:jc w:val="left"/>
            </w:pPr>
            <w:r>
              <w:t xml:space="preserve">57% (4 of 7 pupils)</w:t>
            </w:r>
          </w:p>
        </w:tc>
      </w:tr>
      <w:tr>
        <w:tc>
          <w:tcPr/>
          <w:p>
            <w:pPr>
              <w:pStyle w:val="Compact"/>
              <w:jc w:val="left"/>
            </w:pPr>
            <w:r>
              <w:t xml:space="preserve">Perform safe self-rescue in different water-based situations</w:t>
            </w:r>
          </w:p>
        </w:tc>
        <w:tc>
          <w:tcPr/>
          <w:p>
            <w:pPr>
              <w:pStyle w:val="Compact"/>
              <w:jc w:val="left"/>
            </w:pPr>
            <w:r>
              <w:t xml:space="preserve">57% (4 of 7 pupils)</w:t>
            </w:r>
          </w:p>
        </w:tc>
      </w:tr>
    </w:tbl>
    <w:p>
      <w:pPr>
        <w:pStyle w:val="BodyText"/>
      </w:pPr>
      <w:r>
        <w:t xml:space="preserve">Our Year 6 cohort is small, so percentages should be read alongside the pupil numbers shown.</w:t>
      </w:r>
    </w:p>
    <w:p>
      <w:pPr>
        <w:pStyle w:val="BodyText"/>
      </w:pPr>
      <w:r>
        <w:rPr>
          <w:bCs/>
          <w:b/>
        </w:rPr>
        <w:t xml:space="preserve">Swimming and water safety lessons have been funded outside the PE and sport premium allocation.</w:t>
      </w:r>
      <w:r>
        <w:t xml:space="preserve"> </w:t>
      </w:r>
      <w:r>
        <w:t xml:space="preserve">No premium funding was used for top-up swimming this year.</w:t>
      </w:r>
    </w:p>
    <w:p>
      <w:pPr>
        <w:pStyle w:val="BodyText"/>
      </w:pPr>
      <w:r>
        <w:t xml:space="preserve">We are concerned that not all our pupils are yet confident in the water. Access to pool time is our central difficulty: demand across local schools is high, and we have traditionally only been able to secure a small number of lessons at the local pool each year. We are examining different plans to strengthen this for 2026 to 2027, and it is one of our stated priorities below.</w:t>
      </w:r>
    </w:p>
    <w:p>
      <w:r>
        <w:pict>
          <v:rect style="width:0;height:1.5pt" o:hralign="center" o:hrstd="t" o:hr="t"/>
        </w:pict>
      </w:r>
    </w:p>
    <w:bookmarkEnd w:id="40"/>
    <w:bookmarkStart w:id="42" w:name="how-we-will-sustain-these-improvements"/>
    <w:p>
      <w:pPr>
        <w:pStyle w:val="Heading2"/>
      </w:pPr>
      <w:r>
        <w:t xml:space="preserve">7. How we will sustain these improvements</w:t>
      </w:r>
    </w:p>
    <w:p>
      <w:pPr>
        <w:numPr>
          <w:ilvl w:val="0"/>
          <w:numId w:val="1010"/>
        </w:numPr>
        <w:pStyle w:val="Compact"/>
      </w:pPr>
      <w:r>
        <w:rPr>
          <w:bCs/>
          <w:b/>
        </w:rPr>
        <w:t xml:space="preserve">Expertise stays in school.</w:t>
      </w:r>
      <w:r>
        <w:t xml:space="preserve"> </w:t>
      </w:r>
      <w:r>
        <w:t xml:space="preserve">Because coaches worked alongside our staff rather than in place of them, the subject knowledge and skills developed this year remain with the team and will be used again next year at no further cost.</w:t>
      </w:r>
    </w:p>
    <w:p>
      <w:pPr>
        <w:numPr>
          <w:ilvl w:val="0"/>
          <w:numId w:val="1010"/>
        </w:numPr>
        <w:pStyle w:val="Compact"/>
      </w:pPr>
      <w:r>
        <w:rPr>
          <w:bCs/>
          <w:b/>
        </w:rPr>
        <w:t xml:space="preserve">Leadership capacity is being built deliberately.</w:t>
      </w:r>
      <w:r>
        <w:t xml:space="preserve"> </w:t>
      </w:r>
      <w:r>
        <w:t xml:space="preserve">We have appointed a</w:t>
      </w:r>
      <w:r>
        <w:t xml:space="preserve"> </w:t>
      </w:r>
      <w:r>
        <w:rPr>
          <w:bCs/>
          <w:b/>
        </w:rPr>
        <w:t xml:space="preserve">new PE lead</w:t>
      </w:r>
      <w:r>
        <w:t xml:space="preserve">, who will work alongside an experienced PE practitioner throughout 2026 to 2027 to make further developments to the curriculum.</w:t>
      </w:r>
    </w:p>
    <w:p>
      <w:pPr>
        <w:numPr>
          <w:ilvl w:val="0"/>
          <w:numId w:val="1010"/>
        </w:numPr>
        <w:pStyle w:val="Compact"/>
      </w:pPr>
      <w:r>
        <w:rPr>
          <w:bCs/>
          <w:b/>
        </w:rPr>
        <w:t xml:space="preserve">We are tracking skills over time.</w:t>
      </w:r>
      <w:r>
        <w:t xml:space="preserve"> </w:t>
      </w:r>
      <w:r>
        <w:t xml:space="preserve">We are monitoring how core physical skills develop as pupils move through the school, and considering how provision in EYFS to develop gross motor skills feeds directly into that progression.</w:t>
      </w:r>
    </w:p>
    <w:p>
      <w:pPr>
        <w:numPr>
          <w:ilvl w:val="0"/>
          <w:numId w:val="1010"/>
        </w:numPr>
        <w:pStyle w:val="Compact"/>
      </w:pPr>
      <w:r>
        <w:rPr>
          <w:bCs/>
          <w:b/>
        </w:rPr>
        <w:t xml:space="preserve">CPD is planned, not incidental.</w:t>
      </w:r>
      <w:r>
        <w:t xml:space="preserve"> </w:t>
      </w:r>
      <w:r>
        <w:t xml:space="preserve">Sessions are built into our INSET programme for next year to extend this knowledge and skill base to a wider range of staff.</w:t>
      </w:r>
    </w:p>
    <w:p>
      <w:pPr>
        <w:numPr>
          <w:ilvl w:val="0"/>
          <w:numId w:val="1010"/>
        </w:numPr>
        <w:pStyle w:val="Compact"/>
      </w:pPr>
      <w:r>
        <w:rPr>
          <w:bCs/>
          <w:b/>
        </w:rPr>
        <w:t xml:space="preserve">Equipment is a lasting asset.</w:t>
      </w:r>
      <w:r>
        <w:t xml:space="preserve"> </w:t>
      </w:r>
      <w:r>
        <w:t xml:space="preserve">The gymnastics, safety and activity equipment purchased this year will be used by pupils for several years to come.</w:t>
      </w:r>
    </w:p>
    <w:p>
      <w:pPr>
        <w:numPr>
          <w:ilvl w:val="0"/>
          <w:numId w:val="1010"/>
        </w:numPr>
        <w:pStyle w:val="Compact"/>
      </w:pPr>
      <w:r>
        <w:rPr>
          <w:bCs/>
          <w:b/>
        </w:rPr>
        <w:t xml:space="preserve">Active play is now routine.</w:t>
      </w:r>
      <w:r>
        <w:t xml:space="preserve"> </w:t>
      </w:r>
      <w:r>
        <w:t xml:space="preserve">The 45-minute daily active play offer and the lunchtime club programme are embedded in how the school day runs, rather than being an add-on.</w:t>
      </w:r>
    </w:p>
    <w:p>
      <w:pPr>
        <w:numPr>
          <w:ilvl w:val="0"/>
          <w:numId w:val="1010"/>
        </w:numPr>
        <w:pStyle w:val="Compact"/>
      </w:pPr>
      <w:r>
        <w:rPr>
          <w:bCs/>
          <w:b/>
        </w:rPr>
        <w:t xml:space="preserve">Partnerships and networks.</w:t>
      </w:r>
      <w:r>
        <w:t xml:space="preserve"> </w:t>
      </w:r>
      <w:r>
        <w:t xml:space="preserve">Our Westcountry Schools Trust network membership gives continuing access to fixtures, competitions, shared expertise and safe practice guidance. We also look forward to the</w:t>
      </w:r>
      <w:r>
        <w:t xml:space="preserve"> </w:t>
      </w:r>
      <w:r>
        <w:rPr>
          <w:bCs/>
          <w:b/>
        </w:rPr>
        <w:t xml:space="preserve">new local sports partnerships</w:t>
      </w:r>
      <w:r>
        <w:t xml:space="preserve"> </w:t>
      </w:r>
      <w:r>
        <w:t xml:space="preserve">and the opportunities these are expected to open up for a school of our size and location.</w:t>
      </w:r>
    </w:p>
    <w:p>
      <w:pPr>
        <w:numPr>
          <w:ilvl w:val="0"/>
          <w:numId w:val="1010"/>
        </w:numPr>
        <w:pStyle w:val="Compact"/>
      </w:pPr>
      <w:r>
        <w:rPr>
          <w:bCs/>
          <w:b/>
        </w:rPr>
        <w:t xml:space="preserve">Transport is a known constraint.</w:t>
      </w:r>
      <w:r>
        <w:t xml:space="preserve"> </w:t>
      </w:r>
      <w:r>
        <w:t xml:space="preserve">We are mindful that transport logistics and costs affect our ability to participate in events further afield, and we are actively considering models that would allow us to increase participation.</w:t>
      </w:r>
    </w:p>
    <w:bookmarkStart w:id="41" w:name="priorities-for-2026-to-2027"/>
    <w:p>
      <w:pPr>
        <w:pStyle w:val="Heading3"/>
      </w:pPr>
      <w:r>
        <w:t xml:space="preserve">Priorities for 2026 to 2027</w:t>
      </w:r>
    </w:p>
    <w:p>
      <w:pPr>
        <w:numPr>
          <w:ilvl w:val="0"/>
          <w:numId w:val="1011"/>
        </w:numPr>
        <w:pStyle w:val="Compact"/>
      </w:pPr>
      <w:r>
        <w:rPr>
          <w:bCs/>
          <w:b/>
        </w:rPr>
        <w:t xml:space="preserve">Widening CPD to all teaching staff</w:t>
      </w:r>
      <w:r>
        <w:t xml:space="preserve">, so that expertise in PE is held across the whole team rather than concentrated in a few members of staff.</w:t>
      </w:r>
    </w:p>
    <w:p>
      <w:pPr>
        <w:numPr>
          <w:ilvl w:val="0"/>
          <w:numId w:val="1011"/>
        </w:numPr>
        <w:pStyle w:val="Compact"/>
      </w:pPr>
      <w:r>
        <w:rPr>
          <w:bCs/>
          <w:b/>
        </w:rPr>
        <w:t xml:space="preserve">Increasing opportunities to participate in extra-curricular events and activities</w:t>
      </w:r>
      <w:r>
        <w:t xml:space="preserve">, including addressing the transport barriers that limited our competition entries this year.</w:t>
      </w:r>
    </w:p>
    <w:p>
      <w:pPr>
        <w:numPr>
          <w:ilvl w:val="0"/>
          <w:numId w:val="1011"/>
        </w:numPr>
        <w:pStyle w:val="Compact"/>
      </w:pPr>
      <w:r>
        <w:rPr>
          <w:bCs/>
          <w:b/>
        </w:rPr>
        <w:t xml:space="preserve">Strengthening the swimming offer</w:t>
      </w:r>
      <w:r>
        <w:t xml:space="preserve">, so that all pupils develop both the skills and the confidence expected by the end of Key Stage 2.</w:t>
      </w:r>
    </w:p>
    <w:p>
      <w:pPr>
        <w:pStyle w:val="FirstParagraph"/>
      </w:pPr>
      <w:r>
        <w:t xml:space="preserve">Alongside these, we will expand our dance provision, and introduce pickleball and potentially orienteering into the curriculum with cross country added to the extra-curricular programme.</w:t>
      </w:r>
    </w:p>
    <w:p>
      <w:r>
        <w:pict>
          <v:rect style="width:0;height:1.5pt" o:hralign="center" o:hrstd="t" o:hr="t"/>
        </w:pict>
      </w:r>
    </w:p>
    <w:bookmarkEnd w:id="41"/>
    <w:bookmarkEnd w:id="42"/>
    <w:bookmarkStart w:id="43" w:name="accountability"/>
    <w:p>
      <w:pPr>
        <w:pStyle w:val="Heading2"/>
      </w:pPr>
      <w:r>
        <w:t xml:space="preserve">8. Accountability</w:t>
      </w:r>
    </w:p>
    <w:p>
      <w:pPr>
        <w:pStyle w:val="FirstParagraph"/>
      </w:pPr>
      <w:r>
        <w:t xml:space="preserve">This report was drafted by school leaders and is scheduled for review by the Local Governing Body in October 2026. The Local Governing Body scrutinises how the PE and sport premium has been planned for and used, and the outcomes achieved for pupils.</w:t>
      </w:r>
    </w:p>
    <w:tbl>
      <w:tblPr>
        <w:tblStyle w:val="Table"/>
        <w:tblW w:type="auto" w:w="0"/>
        <w:tblLook w:firstRow="0" w:lastRow="0" w:firstColumn="0" w:lastColumn="0" w:noHBand="0" w:noVBand="0" w:val="0000"/>
        <w:jc w:val="start"/>
      </w:tblPr>
      <w:tblGrid>
        <w:gridCol w:w="3960"/>
        <w:gridCol w:w="3960"/>
      </w:tblGrid>
      <w:tr>
        <w:tc>
          <w:tcPr/>
          <w:p>
            <w:pPr>
              <w:pStyle w:val="Compact"/>
              <w:jc w:val="left"/>
            </w:pPr>
            <w:r>
              <w:t xml:space="preserve">Drafted by</w:t>
            </w:r>
          </w:p>
        </w:tc>
        <w:tc>
          <w:tcPr/>
          <w:p>
            <w:pPr>
              <w:pStyle w:val="Compact"/>
              <w:jc w:val="left"/>
            </w:pPr>
            <w:r>
              <w:t xml:space="preserve">Lynsey Slater, Principal</w:t>
            </w:r>
          </w:p>
        </w:tc>
      </w:tr>
      <w:tr>
        <w:tc>
          <w:tcPr/>
          <w:p>
            <w:pPr>
              <w:pStyle w:val="Compact"/>
              <w:jc w:val="left"/>
            </w:pPr>
            <w:r>
              <w:t xml:space="preserve">Lead for PE and sport</w:t>
            </w:r>
          </w:p>
        </w:tc>
        <w:tc>
          <w:tcPr/>
          <w:p>
            <w:pPr>
              <w:pStyle w:val="Compact"/>
              <w:jc w:val="left"/>
            </w:pPr>
            <w:r>
              <w:t xml:space="preserve">Tom Lyle</w:t>
            </w:r>
          </w:p>
        </w:tc>
      </w:tr>
      <w:tr>
        <w:tc>
          <w:tcPr/>
          <w:p>
            <w:pPr>
              <w:pStyle w:val="Compact"/>
              <w:jc w:val="left"/>
            </w:pPr>
            <w:r>
              <w:t xml:space="preserve">Link governor for PE and sport</w:t>
            </w:r>
          </w:p>
        </w:tc>
        <w:tc>
          <w:tcPr/>
          <w:p>
            <w:pPr>
              <w:pStyle w:val="Compact"/>
              <w:jc w:val="left"/>
            </w:pPr>
            <w:r>
              <w:t xml:space="preserve">Jo Luxford</w:t>
            </w:r>
          </w:p>
        </w:tc>
      </w:tr>
      <w:tr>
        <w:tc>
          <w:tcPr/>
          <w:p>
            <w:pPr>
              <w:pStyle w:val="Compact"/>
              <w:jc w:val="left"/>
            </w:pPr>
            <w:r>
              <w:t xml:space="preserve">Scheduled for review by</w:t>
            </w:r>
          </w:p>
        </w:tc>
        <w:tc>
          <w:tcPr/>
          <w:p>
            <w:pPr>
              <w:pStyle w:val="Compact"/>
              <w:jc w:val="left"/>
            </w:pPr>
            <w:r>
              <w:t xml:space="preserve">Local Governing Body, October 2026</w:t>
            </w:r>
          </w:p>
        </w:tc>
      </w:tr>
    </w:tbl>
    <w:p>
      <w:pPr>
        <w:pStyle w:val="BodyText"/>
      </w:pPr>
      <w:r>
        <w:t xml:space="preserve">This report will be updated following the Local Governing Body’s review if any amendments are required.</w:t>
      </w:r>
    </w:p>
    <w:p>
      <w:pPr>
        <w:pStyle w:val="BodyText"/>
      </w:pPr>
      <w:r>
        <w:t xml:space="preserve">Our report for the previous academic year, 2024 to 2025, remains available on this website so that comparisons can be made.</w:t>
      </w:r>
    </w:p>
    <w:bookmarkEnd w:id="43"/>
    <w:bookmarkEnd w:id="44"/>
    <w:sectPr w:rsidR="00FC693F" w:rsidRPr="0006063C" w:rsidSect="00034616">
      <w:pgSz w:h="15840" w:w="12240"/>
      <w:pgMar w:bottom="1152" w:footer="720" w:gutter="0" w:header="720" w:left="1296" w:right="1296" w:top="1152"/>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embedSystemFonts/>
  <w:stylePaneFormatFilter w:val="0004"/>
  <w:footnotePr>
    <w:footnote w:id="-1"/>
    <w:footnote w:id="0"/>
  </w:footnotePr>
  <w:doNotTrackMoves/>
  <w:drawingGridHorizontalSpacing w:val="360"/>
  <w:drawingGridVerticalSpacing w:val="360"/>
  <w:displayHorizontalDrawingGridEvery w:val="0"/>
  <w:displayVerticalDrawingGridEvery w:val="0"/>
  <w:rsids>
  </w:rsids>
  <w:clrSchemeMapping w:accent1="accent1" w:accent2="accent2" w:accent3="accent3" w:accent4="accent4" w:accent5="accent5" w:accent6="accent6" w:bg1="light1" w:bg2="light2" w:followedHyperlink="followedHyperlink" w:hyperlink="hyperlink" w:t1="dark1" w:t2="dark2"/>
  <w:zoom w:val="bestFit"/>
  <w:proofState w:grammar="clean"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eastAsia="ja-JP"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spacing w:after="160" w:before="0"/>
    </w:pPr>
    <w:rPr>
      <w:rFonts w:ascii="Arial" w:hAnsi="Arial"/>
      <w:b w:val="0"/>
      <w:sz w:val="21"/>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120" w:before="320"/>
      <w:outlineLvl w:val="0"/>
    </w:pPr>
    <w:rPr>
      <w:rFonts w:ascii="Arial" w:asciiTheme="majorHAnsi" w:cstheme="majorBidi" w:eastAsiaTheme="majorEastAsia" w:hAnsi="Arial" w:hAnsiTheme="majorHAnsi"/>
      <w:b/>
      <w:bCs/>
      <w:color w:val="1F3864"/>
      <w:sz w:val="30"/>
      <w:szCs w:val="28"/>
    </w:rPr>
  </w:style>
  <w:style w:styleId="Heading2" w:type="paragraph">
    <w:name w:val="heading 2"/>
    <w:basedOn w:val="Normal"/>
    <w:next w:val="Normal"/>
    <w:link w:val="Heading2Char"/>
    <w:uiPriority w:val="9"/>
    <w:unhideWhenUsed/>
    <w:qFormat/>
    <w:rsid w:val="00FC693F"/>
    <w:pPr>
      <w:keepNext/>
      <w:keepLines/>
      <w:spacing w:after="80" w:before="240"/>
      <w:outlineLvl w:val="1"/>
    </w:pPr>
    <w:rPr>
      <w:rFonts w:ascii="Arial" w:asciiTheme="majorHAnsi" w:cstheme="majorBidi" w:eastAsiaTheme="majorEastAsia" w:hAnsi="Arial" w:hAnsiTheme="majorHAnsi"/>
      <w:b/>
      <w:bCs/>
      <w:color w:val="1F3864"/>
      <w:sz w:val="25"/>
      <w:szCs w:val="26"/>
    </w:rPr>
  </w:style>
  <w:style w:styleId="Heading3" w:type="paragraph">
    <w:name w:val="heading 3"/>
    <w:basedOn w:val="Normal"/>
    <w:next w:val="Normal"/>
    <w:link w:val="Heading3Char"/>
    <w:uiPriority w:val="9"/>
    <w:unhideWhenUsed/>
    <w:qFormat/>
    <w:rsid w:val="00FC693F"/>
    <w:pPr>
      <w:keepNext/>
      <w:keepLines/>
      <w:spacing w:after="80" w:before="200"/>
      <w:outlineLvl w:val="2"/>
    </w:pPr>
    <w:rPr>
      <w:rFonts w:ascii="Arial" w:asciiTheme="majorHAnsi" w:cstheme="majorBidi" w:eastAsiaTheme="majorEastAsia" w:hAnsi="Arial" w:hAnsiTheme="majorHAnsi"/>
      <w:b/>
      <w:bCs/>
      <w:color w:val="2E5496"/>
      <w:sz w:val="22"/>
    </w:rPr>
  </w:style>
  <w:style w:styleId="Heading4" w:type="paragraph">
    <w:name w:val="heading 4"/>
    <w:basedOn w:val="Normal"/>
    <w:next w:val="Normal"/>
    <w:link w:val="Heading4Char"/>
    <w:uiPriority w:val="9"/>
    <w:semiHidden/>
    <w:unhideWhenUsed/>
    <w:qFormat/>
    <w:rsid w:val="00FC693F"/>
    <w:pPr>
      <w:keepNext/>
      <w:keepLines/>
      <w:spacing w:after="60" w:before="160"/>
      <w:outlineLvl w:val="3"/>
    </w:pPr>
    <w:rPr>
      <w:rFonts w:ascii="Arial" w:asciiTheme="majorHAnsi" w:cstheme="majorBidi" w:eastAsiaTheme="majorEastAsia" w:hAnsi="Arial" w:hAnsiTheme="majorHAnsi"/>
      <w:b/>
      <w:bCs/>
      <w:i/>
      <w:iCs/>
      <w:color w:val="2E5496"/>
      <w:sz w:val="21"/>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80" w:before="0" w:line="240" w:lineRule="auto"/>
      <w:contextualSpacing/>
    </w:pPr>
    <w:rPr>
      <w:rFonts w:ascii="Arial" w:asciiTheme="majorHAnsi" w:cstheme="majorBidi" w:eastAsiaTheme="majorEastAsia" w:hAnsi="Arial" w:hAnsiTheme="majorHAnsi"/>
      <w:b/>
      <w:color w:val="1F3864"/>
      <w:spacing w:val="5"/>
      <w:kern w:val="28"/>
      <w:sz w:val="40"/>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spacing w:after="80" w:before="0"/>
      <w:contextualSpacing/>
    </w:pPr>
    <w:rPr>
      <w:rFonts w:ascii="Arial" w:hAnsi="Arial"/>
      <w:b w:val="0"/>
      <w:sz w:val="21"/>
    </w:r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spacing w:after="80" w:before="0"/>
      <w:contextualSpacing/>
    </w:pPr>
    <w:rPr>
      <w:rFonts w:ascii="Arial" w:hAnsi="Arial"/>
      <w:b w:val="0"/>
      <w:sz w:val="21"/>
    </w:r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2026-09-25T12:06:58Z</dcterms:created>
  <dcterms:modified xsi:type="dcterms:W3CDTF">2026-09-25T12:06:58Z</dcterms:modified>
</cp:coreProperties>
</file>

<file path=docProps/custom.xml><?xml version="1.0" encoding="utf-8"?>
<Properties xmlns="http://schemas.openxmlformats.org/officeDocument/2006/custom-properties" xmlns:vt="http://schemas.openxmlformats.org/officeDocument/2006/docPropsVTypes"/>
</file>